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Century" w:cs="Century" w:eastAsia="Century" w:hAnsi="Century"/>
          <w:b w:val="1"/>
          <w:sz w:val="32"/>
          <w:szCs w:val="32"/>
        </w:rPr>
      </w:pPr>
      <w:bookmarkStart w:colFirst="0" w:colLast="0" w:name="_heading=h.gjdgxs" w:id="0"/>
      <w:bookmarkEnd w:id="0"/>
      <w:r w:rsidDel="00000000" w:rsidR="00000000" w:rsidRPr="00000000">
        <w:rPr>
          <w:rFonts w:ascii="Century" w:cs="Century" w:eastAsia="Century" w:hAnsi="Century"/>
          <w:b w:val="1"/>
          <w:sz w:val="32"/>
          <w:szCs w:val="32"/>
          <w:rtl w:val="0"/>
        </w:rPr>
        <w:t xml:space="preserve">Port Ginesta se consolida a nivel internacional como referencia en el sector de los catamaranes </w:t>
      </w:r>
    </w:p>
    <w:p w:rsidR="00000000" w:rsidDel="00000000" w:rsidP="00000000" w:rsidRDefault="00000000" w:rsidRPr="00000000" w14:paraId="00000002">
      <w:pPr>
        <w:numPr>
          <w:ilvl w:val="0"/>
          <w:numId w:val="1"/>
        </w:numPr>
        <w:spacing w:before="240" w:lineRule="auto"/>
        <w:ind w:left="720" w:hanging="360"/>
        <w:jc w:val="both"/>
        <w:rPr>
          <w:rFonts w:ascii="Century" w:cs="Century" w:eastAsia="Century" w:hAnsi="Century"/>
          <w:i w:val="1"/>
        </w:rPr>
      </w:pPr>
      <w:r w:rsidDel="00000000" w:rsidR="00000000" w:rsidRPr="00000000">
        <w:rPr>
          <w:rFonts w:ascii="Century" w:cs="Century" w:eastAsia="Century" w:hAnsi="Century"/>
          <w:i w:val="1"/>
          <w:rtl w:val="0"/>
        </w:rPr>
        <w:t xml:space="preserve">Desde 2021 el puerto ha realizado más de 80 movimientos de catamaranes </w:t>
      </w:r>
      <w:r w:rsidDel="00000000" w:rsidR="00000000" w:rsidRPr="00000000">
        <w:rPr>
          <w:rFonts w:ascii="Century" w:cs="Century" w:eastAsia="Century" w:hAnsi="Century"/>
          <w:i w:val="1"/>
          <w:color w:val="000000"/>
          <w:rtl w:val="0"/>
        </w:rPr>
        <w:t xml:space="preserve">en su varadero.</w:t>
      </w:r>
      <w:r w:rsidDel="00000000" w:rsidR="00000000" w:rsidRPr="00000000">
        <w:rPr>
          <w:rtl w:val="0"/>
        </w:rPr>
      </w:r>
    </w:p>
    <w:p w:rsidR="00000000" w:rsidDel="00000000" w:rsidP="00000000" w:rsidRDefault="00000000" w:rsidRPr="00000000" w14:paraId="00000003">
      <w:pPr>
        <w:numPr>
          <w:ilvl w:val="0"/>
          <w:numId w:val="1"/>
        </w:numPr>
        <w:spacing w:before="240" w:lineRule="auto"/>
        <w:ind w:left="720" w:hanging="360"/>
        <w:jc w:val="both"/>
        <w:rPr>
          <w:rFonts w:ascii="Century" w:cs="Century" w:eastAsia="Century" w:hAnsi="Century"/>
          <w:i w:val="1"/>
        </w:rPr>
      </w:pPr>
      <w:r w:rsidDel="00000000" w:rsidR="00000000" w:rsidRPr="00000000">
        <w:rPr>
          <w:rFonts w:ascii="Century" w:cs="Century" w:eastAsia="Century" w:hAnsi="Century"/>
          <w:i w:val="1"/>
          <w:rtl w:val="0"/>
        </w:rPr>
        <w:t xml:space="preserve">El líder mundial Lagoon, del grupo Beneteau, ha instalado su base permanente en Port Ginesta, que acogerá la presentación internacional de toda su flota de embarcaciones entre otros eventos. </w:t>
      </w:r>
    </w:p>
    <w:p w:rsidR="00000000" w:rsidDel="00000000" w:rsidP="00000000" w:rsidRDefault="00000000" w:rsidRPr="00000000" w14:paraId="00000004">
      <w:pPr>
        <w:numPr>
          <w:ilvl w:val="0"/>
          <w:numId w:val="1"/>
        </w:numPr>
        <w:spacing w:before="240" w:lineRule="auto"/>
        <w:ind w:left="720" w:hanging="360"/>
        <w:jc w:val="both"/>
        <w:rPr>
          <w:rFonts w:ascii="Century" w:cs="Century" w:eastAsia="Century" w:hAnsi="Century"/>
          <w:i w:val="1"/>
        </w:rPr>
      </w:pPr>
      <w:r w:rsidDel="00000000" w:rsidR="00000000" w:rsidRPr="00000000">
        <w:rPr>
          <w:rFonts w:ascii="Century" w:cs="Century" w:eastAsia="Century" w:hAnsi="Century"/>
          <w:i w:val="1"/>
          <w:rtl w:val="0"/>
        </w:rPr>
        <w:t xml:space="preserve">Este junio 2022 Lagoon celebrará la convención mundial de distribuidores en su base de Port Ginesta.</w:t>
      </w:r>
    </w:p>
    <w:p w:rsidR="00000000" w:rsidDel="00000000" w:rsidP="00000000" w:rsidRDefault="00000000" w:rsidRPr="00000000" w14:paraId="00000005">
      <w:pPr>
        <w:numPr>
          <w:ilvl w:val="0"/>
          <w:numId w:val="1"/>
        </w:numPr>
        <w:spacing w:before="240" w:lineRule="auto"/>
        <w:ind w:left="720" w:hanging="360"/>
        <w:jc w:val="both"/>
        <w:rPr>
          <w:rFonts w:ascii="Century" w:cs="Century" w:eastAsia="Century" w:hAnsi="Century"/>
          <w:i w:val="1"/>
        </w:rPr>
      </w:pPr>
      <w:r w:rsidDel="00000000" w:rsidR="00000000" w:rsidRPr="00000000">
        <w:rPr>
          <w:rFonts w:ascii="Century" w:cs="Century" w:eastAsia="Century" w:hAnsi="Century"/>
          <w:i w:val="1"/>
          <w:rtl w:val="0"/>
        </w:rPr>
        <w:t xml:space="preserve">En octubre de 2022 Por Ginesta organiza el rally-regata más importante de Europa dedicado en exclusiva a los catamaranes.</w:t>
      </w:r>
    </w:p>
    <w:p w:rsidR="00000000" w:rsidDel="00000000" w:rsidP="00000000" w:rsidRDefault="00000000" w:rsidRPr="00000000" w14:paraId="00000006">
      <w:pPr>
        <w:spacing w:after="240" w:before="240" w:lineRule="auto"/>
        <w:jc w:val="both"/>
        <w:rPr>
          <w:rFonts w:ascii="Century" w:cs="Century" w:eastAsia="Century" w:hAnsi="Century"/>
        </w:rPr>
      </w:pPr>
      <w:r w:rsidDel="00000000" w:rsidR="00000000" w:rsidRPr="00000000">
        <w:rPr>
          <w:rFonts w:ascii="Century" w:cs="Century" w:eastAsia="Century" w:hAnsi="Century"/>
          <w:b w:val="1"/>
          <w:rtl w:val="0"/>
        </w:rPr>
        <w:t xml:space="preserve">Port Ginesta, 08 de junio de 2022</w:t>
      </w:r>
      <w:r w:rsidDel="00000000" w:rsidR="00000000" w:rsidRPr="00000000">
        <w:rPr>
          <w:rFonts w:ascii="Century" w:cs="Century" w:eastAsia="Century" w:hAnsi="Century"/>
          <w:rtl w:val="0"/>
        </w:rPr>
        <w:t xml:space="preserve"> – Port Ginesta se posiciona </w:t>
      </w:r>
      <w:r w:rsidDel="00000000" w:rsidR="00000000" w:rsidRPr="00000000">
        <w:rPr>
          <w:rFonts w:ascii="Century" w:cs="Century" w:eastAsia="Century" w:hAnsi="Century"/>
          <w:color w:val="000000"/>
          <w:rtl w:val="0"/>
        </w:rPr>
        <w:t xml:space="preserve">también </w:t>
      </w:r>
      <w:r w:rsidDel="00000000" w:rsidR="00000000" w:rsidRPr="00000000">
        <w:rPr>
          <w:rFonts w:ascii="Century" w:cs="Century" w:eastAsia="Century" w:hAnsi="Century"/>
          <w:rtl w:val="0"/>
        </w:rPr>
        <w:t xml:space="preserve">en el segmento de los multicascos, tipología de embarcación que más crece a nivel mundial entre los amantes de la náutica </w:t>
      </w:r>
      <w:r w:rsidDel="00000000" w:rsidR="00000000" w:rsidRPr="00000000">
        <w:rPr>
          <w:rFonts w:ascii="Century" w:cs="Century" w:eastAsia="Century" w:hAnsi="Century"/>
          <w:color w:val="000000"/>
          <w:rtl w:val="0"/>
        </w:rPr>
        <w:t xml:space="preserve">los últimos años. </w:t>
      </w:r>
      <w:r w:rsidDel="00000000" w:rsidR="00000000" w:rsidRPr="00000000">
        <w:rPr>
          <w:rFonts w:ascii="Century" w:cs="Century" w:eastAsia="Century" w:hAnsi="Century"/>
          <w:rtl w:val="0"/>
        </w:rPr>
        <w:t xml:space="preserve">Catamarán Center que apostó por abrir su empresa de distribución de catamaranes en Port Ginesta en 1987, aún continúa hoy en el puerto, a posterior se han incorporado a la marina otras marcas de referencia, como Lagoon y Leopard, primeras marcas mundiales, distribuidas por las empresas Catamaranes Barcelona y Hermanos Guasch.</w:t>
      </w:r>
    </w:p>
    <w:p w:rsidR="00000000" w:rsidDel="00000000" w:rsidP="00000000" w:rsidRDefault="00000000" w:rsidRPr="00000000" w14:paraId="00000007">
      <w:pPr>
        <w:spacing w:after="240" w:before="240" w:lineRule="auto"/>
        <w:jc w:val="both"/>
        <w:rPr>
          <w:rFonts w:ascii="Century" w:cs="Century" w:eastAsia="Century" w:hAnsi="Century"/>
        </w:rPr>
      </w:pPr>
      <w:r w:rsidDel="00000000" w:rsidR="00000000" w:rsidRPr="00000000">
        <w:rPr>
          <w:rFonts w:ascii="Century" w:cs="Century" w:eastAsia="Century" w:hAnsi="Century"/>
          <w:rtl w:val="0"/>
        </w:rPr>
        <w:t xml:space="preserve">“En Port Ginesta apostamos por elevar a la máxima excelencia el servicio a nuestros clientes y los catamaranes no son una excepción. Por eso hemos desarrollado numerosos servicios que tienen en cuenta las necesidades de las embarcaciones multicasco”, subraya Rodrigo de Febrer, capitán de Port Ginesta. Y añade: “desde 2021 ya hemos sacado en seco más de 40 catamaranes.” </w:t>
      </w:r>
    </w:p>
    <w:p w:rsidR="00000000" w:rsidDel="00000000" w:rsidP="00000000" w:rsidRDefault="00000000" w:rsidRPr="00000000" w14:paraId="00000008">
      <w:pPr>
        <w:spacing w:after="240" w:before="240" w:lineRule="auto"/>
        <w:jc w:val="both"/>
        <w:rPr>
          <w:rFonts w:ascii="Century" w:cs="Century" w:eastAsia="Century" w:hAnsi="Century"/>
          <w:b w:val="1"/>
        </w:rPr>
      </w:pPr>
      <w:r w:rsidDel="00000000" w:rsidR="00000000" w:rsidRPr="00000000">
        <w:rPr>
          <w:rFonts w:ascii="Century" w:cs="Century" w:eastAsia="Century" w:hAnsi="Century"/>
          <w:b w:val="1"/>
          <w:rtl w:val="0"/>
        </w:rPr>
        <w:t xml:space="preserve">Una apuesta firme</w:t>
      </w:r>
    </w:p>
    <w:p w:rsidR="00000000" w:rsidDel="00000000" w:rsidP="00000000" w:rsidRDefault="00000000" w:rsidRPr="00000000" w14:paraId="00000009">
      <w:pPr>
        <w:spacing w:after="240" w:before="240" w:lineRule="auto"/>
        <w:jc w:val="both"/>
        <w:rPr>
          <w:rFonts w:ascii="Century" w:cs="Century" w:eastAsia="Century" w:hAnsi="Century"/>
        </w:rPr>
      </w:pPr>
      <w:r w:rsidDel="00000000" w:rsidR="00000000" w:rsidRPr="00000000">
        <w:rPr>
          <w:rFonts w:ascii="Century" w:cs="Century" w:eastAsia="Century" w:hAnsi="Century"/>
          <w:rtl w:val="0"/>
        </w:rPr>
        <w:t xml:space="preserve">Port Ginesta fue la primera marina en adaptar amarres para catamaranes. También se ha convertido en el primer puerto de España en contar con un Croc Lift, un carro hidráulico anfibio autoportante con capacidad para poner en seco catamaranes de hasta 45 toneladas de desplazamiento y </w:t>
      </w:r>
      <w:r w:rsidDel="00000000" w:rsidR="00000000" w:rsidRPr="00000000">
        <w:rPr>
          <w:rFonts w:ascii="Century" w:cs="Century" w:eastAsia="Century" w:hAnsi="Century"/>
          <w:color w:val="000000"/>
          <w:rtl w:val="0"/>
        </w:rPr>
        <w:t xml:space="preserve">11 </w:t>
      </w:r>
      <w:r w:rsidDel="00000000" w:rsidR="00000000" w:rsidRPr="00000000">
        <w:rPr>
          <w:rFonts w:ascii="Century" w:cs="Century" w:eastAsia="Century" w:hAnsi="Century"/>
          <w:rtl w:val="0"/>
        </w:rPr>
        <w:t xml:space="preserve">metros de manga.</w:t>
      </w:r>
    </w:p>
    <w:p w:rsidR="00000000" w:rsidDel="00000000" w:rsidP="00000000" w:rsidRDefault="00000000" w:rsidRPr="00000000" w14:paraId="0000000A">
      <w:pPr>
        <w:spacing w:after="240" w:before="240" w:lineRule="auto"/>
        <w:jc w:val="both"/>
        <w:rPr>
          <w:rFonts w:ascii="Century" w:cs="Century" w:eastAsia="Century" w:hAnsi="Century"/>
        </w:rPr>
      </w:pPr>
      <w:r w:rsidDel="00000000" w:rsidR="00000000" w:rsidRPr="00000000">
        <w:rPr>
          <w:rFonts w:ascii="Century" w:cs="Century" w:eastAsia="Century" w:hAnsi="Century"/>
          <w:rtl w:val="0"/>
        </w:rPr>
        <w:t xml:space="preserve">En octubre Port Ginesta inaugura la primera dársena para catamaranes de Europa, que albergara 36 unidades. Además de los 18 puntos de amarre existentes para multicascos, ofreciendo un total de 55 amarres específicos para catamaranes de entre 40 y 80 pies.</w:t>
      </w:r>
    </w:p>
    <w:p w:rsidR="00000000" w:rsidDel="00000000" w:rsidP="00000000" w:rsidRDefault="00000000" w:rsidRPr="00000000" w14:paraId="0000000B">
      <w:pPr>
        <w:spacing w:after="240" w:before="240" w:lineRule="auto"/>
        <w:jc w:val="both"/>
        <w:rPr>
          <w:rFonts w:ascii="Century" w:cs="Century" w:eastAsia="Century" w:hAnsi="Century"/>
        </w:rPr>
      </w:pPr>
      <w:r w:rsidDel="00000000" w:rsidR="00000000" w:rsidRPr="00000000">
        <w:rPr>
          <w:rFonts w:ascii="Century" w:cs="Century" w:eastAsia="Century" w:hAnsi="Century"/>
          <w:rtl w:val="0"/>
        </w:rPr>
        <w:t xml:space="preserve">Esta infraestructura ha llevado al líder mundial Lagoon, del grupo Beneteau, a establecer su única base internacional de pruebas en Port Ginesta</w:t>
      </w:r>
      <w:r w:rsidDel="00000000" w:rsidR="00000000" w:rsidRPr="00000000">
        <w:rPr>
          <w:rFonts w:ascii="Century" w:cs="Century" w:eastAsia="Century" w:hAnsi="Century"/>
          <w:color w:val="000000"/>
          <w:rtl w:val="0"/>
        </w:rPr>
        <w:t xml:space="preserve">.</w:t>
      </w:r>
      <w:r w:rsidDel="00000000" w:rsidR="00000000" w:rsidRPr="00000000">
        <w:rPr>
          <w:rFonts w:ascii="Century" w:cs="Century" w:eastAsia="Century" w:hAnsi="Century"/>
          <w:rtl w:val="0"/>
        </w:rPr>
        <w:t xml:space="preserve"> Lagoon es el astillero de catamaranes con más producción del mundo, construyendo 600 unidades anuales. </w:t>
      </w:r>
    </w:p>
    <w:p w:rsidR="00000000" w:rsidDel="00000000" w:rsidP="00000000" w:rsidRDefault="00000000" w:rsidRPr="00000000" w14:paraId="0000000C">
      <w:pPr>
        <w:spacing w:after="240" w:before="240" w:lineRule="auto"/>
        <w:jc w:val="both"/>
        <w:rPr>
          <w:rFonts w:ascii="Century" w:cs="Century" w:eastAsia="Century" w:hAnsi="Century"/>
        </w:rPr>
      </w:pPr>
      <w:r w:rsidDel="00000000" w:rsidR="00000000" w:rsidRPr="00000000">
        <w:rPr>
          <w:rFonts w:ascii="Century" w:cs="Century" w:eastAsia="Century" w:hAnsi="Century"/>
          <w:rtl w:val="0"/>
        </w:rPr>
        <w:t xml:space="preserve">Este junio 2022, Port Ginesta ha sido el lugar elegido por Lagoon para celebrar la reunión mundial de sus distribuidores. Posicionando Port Ginesta, Barcelona y España en el foco mundial del catamarán.</w:t>
      </w:r>
    </w:p>
    <w:p w:rsidR="00000000" w:rsidDel="00000000" w:rsidP="00000000" w:rsidRDefault="00000000" w:rsidRPr="00000000" w14:paraId="0000000D">
      <w:pPr>
        <w:spacing w:after="240" w:before="240" w:lineRule="auto"/>
        <w:jc w:val="both"/>
        <w:rPr>
          <w:rFonts w:ascii="Century" w:cs="Century" w:eastAsia="Century" w:hAnsi="Century"/>
          <w:b w:val="1"/>
        </w:rPr>
      </w:pPr>
      <w:r w:rsidDel="00000000" w:rsidR="00000000" w:rsidRPr="00000000">
        <w:rPr>
          <w:rFonts w:ascii="Century" w:cs="Century" w:eastAsia="Century" w:hAnsi="Century"/>
          <w:b w:val="1"/>
          <w:rtl w:val="0"/>
        </w:rPr>
        <w:t xml:space="preserve">Un evento pionero en Europa</w:t>
      </w:r>
    </w:p>
    <w:p w:rsidR="00000000" w:rsidDel="00000000" w:rsidP="00000000" w:rsidRDefault="00000000" w:rsidRPr="00000000" w14:paraId="0000000E">
      <w:pPr>
        <w:spacing w:after="240" w:before="240" w:lineRule="auto"/>
        <w:jc w:val="both"/>
        <w:rPr>
          <w:rFonts w:ascii="Century" w:cs="Century" w:eastAsia="Century" w:hAnsi="Century"/>
        </w:rPr>
      </w:pPr>
      <w:r w:rsidDel="00000000" w:rsidR="00000000" w:rsidRPr="00000000">
        <w:rPr>
          <w:rFonts w:ascii="Century" w:cs="Century" w:eastAsia="Century" w:hAnsi="Century"/>
          <w:rtl w:val="0"/>
        </w:rPr>
        <w:t xml:space="preserve">En octubre de 2022 Port Ginesta organiza un rally regata en exclusiva a catamaranes. Un acontecimiento en primicia, pues es la primera vez que Europa acoge un evento de estas características. Un evento aglutinador que convierte a Port Ginesta en el centro europeo del multicasco. Ofreciendo a los armadores una experiencia lúdica y de comunidad.</w:t>
      </w:r>
    </w:p>
    <w:p w:rsidR="00000000" w:rsidDel="00000000" w:rsidP="00000000" w:rsidRDefault="00000000" w:rsidRPr="00000000" w14:paraId="0000000F">
      <w:pPr>
        <w:spacing w:after="240" w:before="240" w:lineRule="auto"/>
        <w:jc w:val="both"/>
        <w:rPr>
          <w:rFonts w:ascii="Century" w:cs="Century" w:eastAsia="Century" w:hAnsi="Century"/>
        </w:rPr>
      </w:pPr>
      <w:bookmarkStart w:colFirst="0" w:colLast="0" w:name="_heading=h.30j0zll" w:id="1"/>
      <w:bookmarkEnd w:id="1"/>
      <w:r w:rsidDel="00000000" w:rsidR="00000000" w:rsidRPr="00000000">
        <w:rPr>
          <w:rFonts w:ascii="Century" w:cs="Century" w:eastAsia="Century" w:hAnsi="Century"/>
          <w:rtl w:val="0"/>
        </w:rPr>
        <w:t xml:space="preserve">Será un evento vinculado a la marca Multihull Frendly Marinas (MFM), una insignia de la que Port Ginesta es fundador. Multihull Frendly Marinas es una red de marinas especializadas en ofrecer el mejor servicio para multicascos.</w:t>
      </w:r>
    </w:p>
    <w:p w:rsidR="00000000" w:rsidDel="00000000" w:rsidP="00000000" w:rsidRDefault="00000000" w:rsidRPr="00000000" w14:paraId="00000010">
      <w:pPr>
        <w:spacing w:after="240" w:before="240" w:lineRule="auto"/>
        <w:jc w:val="both"/>
        <w:rPr>
          <w:rFonts w:ascii="Century" w:cs="Century" w:eastAsia="Century" w:hAnsi="Century"/>
        </w:rPr>
      </w:pPr>
      <w:r w:rsidDel="00000000" w:rsidR="00000000" w:rsidRPr="00000000">
        <w:rPr>
          <w:rFonts w:ascii="Century" w:cs="Century" w:eastAsia="Century" w:hAnsi="Century"/>
          <w:rtl w:val="0"/>
        </w:rPr>
        <w:t xml:space="preserve">La experiencia de Port Ginesta como parte de la organización de regatas tan emblemáticas como la Ruta de la Sal, es augurio de éxito asegurado.</w:t>
      </w:r>
    </w:p>
    <w:p w:rsidR="00000000" w:rsidDel="00000000" w:rsidP="00000000" w:rsidRDefault="00000000" w:rsidRPr="00000000" w14:paraId="00000011">
      <w:pPr>
        <w:shd w:fill="ffffff" w:val="clear"/>
        <w:spacing w:after="150" w:before="150" w:line="240" w:lineRule="auto"/>
        <w:jc w:val="right"/>
        <w:rPr>
          <w:rFonts w:ascii="Century" w:cs="Century" w:eastAsia="Century" w:hAnsi="Century"/>
          <w:b w:val="1"/>
          <w:i w:val="1"/>
          <w:color w:val="202020"/>
          <w:sz w:val="18"/>
          <w:szCs w:val="18"/>
          <w:u w:val="single"/>
        </w:rPr>
      </w:pPr>
      <w:r w:rsidDel="00000000" w:rsidR="00000000" w:rsidRPr="00000000">
        <w:rPr>
          <w:rFonts w:ascii="Century" w:cs="Century" w:eastAsia="Century" w:hAnsi="Century"/>
          <w:b w:val="1"/>
          <w:i w:val="1"/>
          <w:color w:val="202020"/>
          <w:sz w:val="18"/>
          <w:szCs w:val="18"/>
          <w:u w:val="single"/>
          <w:rtl w:val="0"/>
        </w:rPr>
        <w:t xml:space="preserve">Per más información – INTERPROFIT:</w:t>
      </w:r>
    </w:p>
    <w:p w:rsidR="00000000" w:rsidDel="00000000" w:rsidP="00000000" w:rsidRDefault="00000000" w:rsidRPr="00000000" w14:paraId="00000012">
      <w:pPr>
        <w:shd w:fill="ffffff" w:val="clear"/>
        <w:spacing w:line="240" w:lineRule="auto"/>
        <w:jc w:val="right"/>
        <w:rPr>
          <w:rFonts w:ascii="Century" w:cs="Century" w:eastAsia="Century" w:hAnsi="Century"/>
          <w:i w:val="1"/>
          <w:color w:val="202020"/>
          <w:sz w:val="18"/>
          <w:szCs w:val="18"/>
        </w:rPr>
      </w:pPr>
      <w:r w:rsidDel="00000000" w:rsidR="00000000" w:rsidRPr="00000000">
        <w:rPr>
          <w:rFonts w:ascii="Century" w:cs="Century" w:eastAsia="Century" w:hAnsi="Century"/>
          <w:i w:val="1"/>
          <w:color w:val="202020"/>
          <w:sz w:val="18"/>
          <w:szCs w:val="18"/>
          <w:rtl w:val="0"/>
        </w:rPr>
        <w:t xml:space="preserve">Ignacio Adán/Valença Figuera</w:t>
      </w:r>
    </w:p>
    <w:p w:rsidR="00000000" w:rsidDel="00000000" w:rsidP="00000000" w:rsidRDefault="00000000" w:rsidRPr="00000000" w14:paraId="00000013">
      <w:pPr>
        <w:shd w:fill="ffffff" w:val="clear"/>
        <w:spacing w:line="240" w:lineRule="auto"/>
        <w:jc w:val="right"/>
        <w:rPr>
          <w:rFonts w:ascii="Century" w:cs="Century" w:eastAsia="Century" w:hAnsi="Century"/>
          <w:i w:val="1"/>
          <w:color w:val="202020"/>
          <w:sz w:val="18"/>
          <w:szCs w:val="18"/>
        </w:rPr>
      </w:pPr>
      <w:r w:rsidDel="00000000" w:rsidR="00000000" w:rsidRPr="00000000">
        <w:rPr>
          <w:rtl w:val="0"/>
        </w:rPr>
      </w:r>
    </w:p>
    <w:p w:rsidR="00000000" w:rsidDel="00000000" w:rsidP="00000000" w:rsidRDefault="00000000" w:rsidRPr="00000000" w14:paraId="00000014">
      <w:pPr>
        <w:shd w:fill="ffffff" w:val="clear"/>
        <w:spacing w:line="240" w:lineRule="auto"/>
        <w:jc w:val="right"/>
        <w:rPr>
          <w:rFonts w:ascii="Century" w:cs="Century" w:eastAsia="Century" w:hAnsi="Century"/>
          <w:i w:val="1"/>
          <w:color w:val="0000ff"/>
          <w:sz w:val="18"/>
          <w:szCs w:val="18"/>
          <w:u w:val="single"/>
        </w:rPr>
      </w:pPr>
      <w:hyperlink r:id="rId7">
        <w:r w:rsidDel="00000000" w:rsidR="00000000" w:rsidRPr="00000000">
          <w:rPr>
            <w:rFonts w:ascii="Century" w:cs="Century" w:eastAsia="Century" w:hAnsi="Century"/>
            <w:i w:val="1"/>
            <w:color w:val="0000ff"/>
            <w:sz w:val="18"/>
            <w:szCs w:val="18"/>
            <w:u w:val="single"/>
            <w:rtl w:val="0"/>
          </w:rPr>
          <w:t xml:space="preserve">ignacio.adan@interprofit.es</w:t>
        </w:r>
      </w:hyperlink>
      <w:r w:rsidDel="00000000" w:rsidR="00000000" w:rsidRPr="00000000">
        <w:rPr>
          <w:rFonts w:ascii="Century" w:cs="Century" w:eastAsia="Century" w:hAnsi="Century"/>
          <w:i w:val="1"/>
          <w:color w:val="0000ff"/>
          <w:sz w:val="18"/>
          <w:szCs w:val="18"/>
          <w:u w:val="single"/>
          <w:rtl w:val="0"/>
        </w:rPr>
        <w:t xml:space="preserve"> – </w:t>
      </w:r>
      <w:hyperlink r:id="rId8">
        <w:r w:rsidDel="00000000" w:rsidR="00000000" w:rsidRPr="00000000">
          <w:rPr>
            <w:rFonts w:ascii="Century" w:cs="Century" w:eastAsia="Century" w:hAnsi="Century"/>
            <w:i w:val="1"/>
            <w:color w:val="0000ff"/>
            <w:sz w:val="18"/>
            <w:szCs w:val="18"/>
            <w:u w:val="single"/>
            <w:rtl w:val="0"/>
          </w:rPr>
          <w:t xml:space="preserve">valenca.figuera@interprofit.es</w:t>
        </w:r>
      </w:hyperlink>
      <w:r w:rsidDel="00000000" w:rsidR="00000000" w:rsidRPr="00000000">
        <w:rPr>
          <w:rtl w:val="0"/>
        </w:rPr>
      </w:r>
    </w:p>
    <w:p w:rsidR="00000000" w:rsidDel="00000000" w:rsidP="00000000" w:rsidRDefault="00000000" w:rsidRPr="00000000" w14:paraId="00000015">
      <w:pPr>
        <w:shd w:fill="ffffff" w:val="clear"/>
        <w:spacing w:line="240" w:lineRule="auto"/>
        <w:jc w:val="right"/>
        <w:rPr>
          <w:rFonts w:ascii="Century" w:cs="Century" w:eastAsia="Century" w:hAnsi="Century"/>
          <w:i w:val="1"/>
          <w:color w:val="0000ff"/>
          <w:sz w:val="18"/>
          <w:szCs w:val="18"/>
          <w:u w:val="single"/>
        </w:rPr>
      </w:pPr>
      <w:r w:rsidDel="00000000" w:rsidR="00000000" w:rsidRPr="00000000">
        <w:rPr>
          <w:rtl w:val="0"/>
        </w:rPr>
      </w:r>
    </w:p>
    <w:p w:rsidR="00000000" w:rsidDel="00000000" w:rsidP="00000000" w:rsidRDefault="00000000" w:rsidRPr="00000000" w14:paraId="00000016">
      <w:pPr>
        <w:shd w:fill="ffffff" w:val="clear"/>
        <w:spacing w:line="240" w:lineRule="auto"/>
        <w:jc w:val="right"/>
        <w:rPr>
          <w:rFonts w:ascii="Century" w:cs="Century" w:eastAsia="Century" w:hAnsi="Century"/>
        </w:rPr>
      </w:pPr>
      <w:r w:rsidDel="00000000" w:rsidR="00000000" w:rsidRPr="00000000">
        <w:rPr>
          <w:rFonts w:ascii="Century" w:cs="Century" w:eastAsia="Century" w:hAnsi="Century"/>
          <w:rtl w:val="0"/>
        </w:rPr>
        <w:t xml:space="preserve">618639591 – 93 467 02 32 </w:t>
      </w:r>
    </w:p>
    <w:p w:rsidR="00000000" w:rsidDel="00000000" w:rsidP="00000000" w:rsidRDefault="00000000" w:rsidRPr="00000000" w14:paraId="00000017">
      <w:pPr>
        <w:rPr>
          <w:rFonts w:ascii="Century" w:cs="Century" w:eastAsia="Century" w:hAnsi="Century"/>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8">
    <w:pPr>
      <w:rPr/>
    </w:pPr>
    <w:r w:rsidDel="00000000" w:rsidR="00000000" w:rsidRPr="00000000">
      <w:rPr/>
      <w:drawing>
        <wp:inline distB="114300" distT="114300" distL="114300" distR="114300">
          <wp:extent cx="1084690" cy="890588"/>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84690" cy="890588"/>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Ttulo1">
    <w:name w:val="heading 1"/>
    <w:basedOn w:val="Normal"/>
    <w:next w:val="Normal"/>
    <w:uiPriority w:val="9"/>
    <w:qFormat w:val="1"/>
    <w:pPr>
      <w:keepNext w:val="1"/>
      <w:keepLines w:val="1"/>
      <w:spacing w:after="120" w:before="400"/>
      <w:outlineLvl w:val="0"/>
    </w:pPr>
    <w:rPr>
      <w:sz w:val="40"/>
      <w:szCs w:val="40"/>
    </w:rPr>
  </w:style>
  <w:style w:type="paragraph" w:styleId="Ttulo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Ttulo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Ttulo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Ttulo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Ttulo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uiPriority w:val="10"/>
    <w:qFormat w:val="1"/>
    <w:pPr>
      <w:keepNext w:val="1"/>
      <w:keepLines w:val="1"/>
      <w:spacing w:after="60"/>
    </w:pPr>
    <w:rPr>
      <w:sz w:val="52"/>
      <w:szCs w:val="52"/>
    </w:rPr>
  </w:style>
  <w:style w:type="paragraph" w:styleId="Subttulo">
    <w:name w:val="Subtitle"/>
    <w:basedOn w:val="Normal"/>
    <w:next w:val="Normal"/>
    <w:uiPriority w:val="11"/>
    <w:qFormat w:val="1"/>
    <w:pPr>
      <w:keepNext w:val="1"/>
      <w:keepLines w:val="1"/>
      <w:spacing w:after="320"/>
    </w:pPr>
    <w:rPr>
      <w:color w:val="666666"/>
      <w:sz w:val="30"/>
      <w:szCs w:val="30"/>
    </w:rPr>
  </w:style>
  <w:style w:type="character" w:styleId="Refdecomentario">
    <w:name w:val="annotation reference"/>
    <w:basedOn w:val="Fuentedeprrafopredeter"/>
    <w:uiPriority w:val="99"/>
    <w:semiHidden w:val="1"/>
    <w:unhideWhenUsed w:val="1"/>
    <w:rsid w:val="00041F81"/>
    <w:rPr>
      <w:sz w:val="16"/>
      <w:szCs w:val="16"/>
    </w:rPr>
  </w:style>
  <w:style w:type="paragraph" w:styleId="Textocomentario">
    <w:name w:val="annotation text"/>
    <w:basedOn w:val="Normal"/>
    <w:link w:val="TextocomentarioCar"/>
    <w:uiPriority w:val="99"/>
    <w:semiHidden w:val="1"/>
    <w:unhideWhenUsed w:val="1"/>
    <w:rsid w:val="00041F81"/>
    <w:pPr>
      <w:spacing w:line="240" w:lineRule="auto"/>
    </w:pPr>
    <w:rPr>
      <w:sz w:val="20"/>
      <w:szCs w:val="20"/>
    </w:rPr>
  </w:style>
  <w:style w:type="character" w:styleId="TextocomentarioCar" w:customStyle="1">
    <w:name w:val="Texto comentario Car"/>
    <w:basedOn w:val="Fuentedeprrafopredeter"/>
    <w:link w:val="Textocomentario"/>
    <w:uiPriority w:val="99"/>
    <w:semiHidden w:val="1"/>
    <w:rsid w:val="00041F81"/>
    <w:rPr>
      <w:sz w:val="20"/>
      <w:szCs w:val="20"/>
    </w:rPr>
  </w:style>
  <w:style w:type="paragraph" w:styleId="Asuntodelcomentario">
    <w:name w:val="annotation subject"/>
    <w:basedOn w:val="Textocomentario"/>
    <w:next w:val="Textocomentario"/>
    <w:link w:val="AsuntodelcomentarioCar"/>
    <w:uiPriority w:val="99"/>
    <w:semiHidden w:val="1"/>
    <w:unhideWhenUsed w:val="1"/>
    <w:rsid w:val="00041F81"/>
    <w:rPr>
      <w:b w:val="1"/>
      <w:bCs w:val="1"/>
    </w:rPr>
  </w:style>
  <w:style w:type="character" w:styleId="AsuntodelcomentarioCar" w:customStyle="1">
    <w:name w:val="Asunto del comentario Car"/>
    <w:basedOn w:val="TextocomentarioCar"/>
    <w:link w:val="Asuntodelcomentario"/>
    <w:uiPriority w:val="99"/>
    <w:semiHidden w:val="1"/>
    <w:rsid w:val="00041F81"/>
    <w:rPr>
      <w:b w:val="1"/>
      <w:bCs w:val="1"/>
      <w:sz w:val="20"/>
      <w:szCs w:val="20"/>
    </w:rPr>
  </w:style>
  <w:style w:type="character" w:styleId="Hipervnculo">
    <w:name w:val="Hyperlink"/>
    <w:basedOn w:val="Fuentedeprrafopredeter"/>
    <w:uiPriority w:val="99"/>
    <w:unhideWhenUsed w:val="1"/>
    <w:rsid w:val="000B582A"/>
    <w:rPr>
      <w:color w:val="0000ff" w:themeColor="hyperlink"/>
      <w:u w:val="single"/>
    </w:rPr>
  </w:style>
  <w:style w:type="character" w:styleId="Mencinsinresolver">
    <w:name w:val="Unresolved Mention"/>
    <w:basedOn w:val="Fuentedeprrafopredeter"/>
    <w:uiPriority w:val="99"/>
    <w:semiHidden w:val="1"/>
    <w:unhideWhenUsed w:val="1"/>
    <w:rsid w:val="000B582A"/>
    <w:rPr>
      <w:color w:val="605e5c"/>
      <w:shd w:color="auto" w:fill="e1dfdd" w:val="clear"/>
    </w:rPr>
  </w:style>
  <w:style w:type="paragraph" w:styleId="Encabezado">
    <w:name w:val="header"/>
    <w:basedOn w:val="Normal"/>
    <w:link w:val="EncabezadoCar"/>
    <w:uiPriority w:val="99"/>
    <w:unhideWhenUsed w:val="1"/>
    <w:rsid w:val="00780F3B"/>
    <w:pPr>
      <w:tabs>
        <w:tab w:val="center" w:pos="4252"/>
        <w:tab w:val="right" w:pos="8504"/>
      </w:tabs>
      <w:spacing w:line="240" w:lineRule="auto"/>
    </w:pPr>
  </w:style>
  <w:style w:type="character" w:styleId="EncabezadoCar" w:customStyle="1">
    <w:name w:val="Encabezado Car"/>
    <w:basedOn w:val="Fuentedeprrafopredeter"/>
    <w:link w:val="Encabezado"/>
    <w:uiPriority w:val="99"/>
    <w:rsid w:val="00780F3B"/>
  </w:style>
  <w:style w:type="paragraph" w:styleId="Piedepgina">
    <w:name w:val="footer"/>
    <w:basedOn w:val="Normal"/>
    <w:link w:val="PiedepginaCar"/>
    <w:uiPriority w:val="99"/>
    <w:unhideWhenUsed w:val="1"/>
    <w:rsid w:val="00780F3B"/>
    <w:pPr>
      <w:tabs>
        <w:tab w:val="center" w:pos="4252"/>
        <w:tab w:val="right" w:pos="8504"/>
      </w:tabs>
      <w:spacing w:line="240" w:lineRule="auto"/>
    </w:pPr>
  </w:style>
  <w:style w:type="character" w:styleId="PiedepginaCar" w:customStyle="1">
    <w:name w:val="Pie de página Car"/>
    <w:basedOn w:val="Fuentedeprrafopredeter"/>
    <w:link w:val="Piedepgina"/>
    <w:uiPriority w:val="99"/>
    <w:rsid w:val="00780F3B"/>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3.xml"/><Relationship Id="rId13" Type="http://schemas.openxmlformats.org/officeDocument/2006/relationships/footer" Target="footer2.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ignacio.adan@interprofit.es" TargetMode="External"/><Relationship Id="rId8" Type="http://schemas.openxmlformats.org/officeDocument/2006/relationships/hyperlink" Target="mailto:valenca.figuera@interprofit.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lvQ3d1GwBWa0SvfVnnnGdTKdQ==">AMUW2mVu11kYlfDYvs8XTie3BuEq7WLhaJ5lAdXe9QE2VeZ2LEbSgeIMaKH54Iu4pLf6nh+6RzIbA2MiuS3JjsbGrZqn9qMAGFaUnLFfP1HksVfkF0iGg1CNS2bhf4gAoFia0m5a/j5G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2022-06-03T17:26:00Z</dcterms:created>
  <dc:creator>Rodrigo de Febrer Herran</dc:creator>
</cp:coreProperties>
</file>